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719D56E7"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F36C36">
        <w:rPr>
          <w:rFonts w:cs="Arial"/>
          <w:i/>
          <w:iCs/>
          <w:szCs w:val="22"/>
        </w:rPr>
        <w:t>Dingley’s Promise</w:t>
      </w:r>
      <w:r w:rsidR="00154017">
        <w:rPr>
          <w:rFonts w:cs="Arial"/>
          <w:i/>
          <w:iCs/>
          <w:szCs w:val="22"/>
        </w:rPr>
        <w:t>, ‘managing challenging behaviour’</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lastRenderedPageBreak/>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proofErr w:type="gramStart"/>
      <w:r w:rsidR="0073719D">
        <w:rPr>
          <w:rFonts w:ascii="Arial" w:hAnsi="Arial" w:cs="Arial"/>
          <w:sz w:val="22"/>
          <w:szCs w:val="22"/>
        </w:rPr>
        <w:t>adults</w:t>
      </w:r>
      <w:proofErr w:type="gramEnd"/>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w:t>
      </w:r>
      <w:r w:rsidRPr="00085A01">
        <w:rPr>
          <w:rFonts w:ascii="Arial" w:hAnsi="Arial" w:cs="Arial"/>
          <w:sz w:val="22"/>
          <w:szCs w:val="22"/>
        </w:rPr>
        <w:lastRenderedPageBreak/>
        <w:t xml:space="preserve">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w:t>
      </w:r>
      <w:r w:rsidRPr="00085A01">
        <w:rPr>
          <w:rFonts w:ascii="Arial" w:hAnsi="Arial" w:cs="Arial"/>
          <w:sz w:val="22"/>
          <w:szCs w:val="22"/>
        </w:rPr>
        <w:lastRenderedPageBreak/>
        <w:t xml:space="preserve">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w:t>
      </w:r>
      <w:r w:rsidR="00214A05" w:rsidRPr="00085A01">
        <w:rPr>
          <w:rFonts w:ascii="Arial" w:hAnsi="Arial" w:cs="Arial"/>
          <w:sz w:val="22"/>
          <w:szCs w:val="22"/>
        </w:rPr>
        <w:lastRenderedPageBreak/>
        <w:t>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8254B4"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Pr="008254B4">
          <w:rPr>
            <w:rStyle w:val="Hyperlink"/>
            <w:rFonts w:ascii="Arial" w:hAnsi="Arial" w:cs="Arial"/>
            <w:sz w:val="22"/>
            <w:szCs w:val="22"/>
          </w:rPr>
          <w:t>Behaviour Matters</w:t>
        </w:r>
      </w:hyperlink>
      <w:r>
        <w:rPr>
          <w:rFonts w:ascii="Arial" w:hAnsi="Arial" w:cs="Arial"/>
          <w:sz w:val="22"/>
          <w:szCs w:val="22"/>
        </w:rPr>
        <w:t xml:space="preserve"> (Alliance 2016)</w:t>
      </w:r>
    </w:p>
    <w:sectPr w:rsidR="008254B4" w:rsidRPr="00085A01" w:rsidSect="001E7732">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0F7EC" w14:textId="77777777" w:rsidR="002638E2" w:rsidRDefault="002638E2" w:rsidP="003C7A9F">
      <w:r>
        <w:separator/>
      </w:r>
    </w:p>
  </w:endnote>
  <w:endnote w:type="continuationSeparator" w:id="0">
    <w:p w14:paraId="024047AD" w14:textId="77777777" w:rsidR="002638E2" w:rsidRDefault="002638E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CE880" w14:textId="77777777" w:rsidR="002638E2" w:rsidRDefault="002638E2" w:rsidP="003C7A9F">
      <w:r>
        <w:separator/>
      </w:r>
    </w:p>
  </w:footnote>
  <w:footnote w:type="continuationSeparator" w:id="0">
    <w:p w14:paraId="0C9EED8E" w14:textId="77777777" w:rsidR="002638E2" w:rsidRDefault="002638E2"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4017"/>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176"/>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36C36"/>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Angie Guy</cp:lastModifiedBy>
  <cp:revision>2</cp:revision>
  <cp:lastPrinted>2018-05-03T18:57:00Z</cp:lastPrinted>
  <dcterms:created xsi:type="dcterms:W3CDTF">2025-02-19T15:13:00Z</dcterms:created>
  <dcterms:modified xsi:type="dcterms:W3CDTF">2025-02-19T15:13:00Z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